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7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661"/>
        <w:gridCol w:w="950"/>
        <w:gridCol w:w="4271"/>
        <w:gridCol w:w="1327"/>
        <w:gridCol w:w="2325"/>
        <w:gridCol w:w="2132"/>
        <w:gridCol w:w="1682"/>
      </w:tblGrid>
      <w:tr w:rsidR="00095426" w:rsidRPr="00AF06E8" w14:paraId="7DDA5029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A0EBFF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8A8B59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Классы болезней (по </w:t>
            </w:r>
            <w:hyperlink r:id="rId4" w:anchor="l0" w:tgtFrame="_blank" w:history="1">
              <w:r w:rsidRPr="00AF06E8">
                <w:rPr>
                  <w:rFonts w:ascii="PT Serif" w:eastAsia="Times New Roman" w:hAnsi="PT Serif" w:cs="Times New Roman"/>
                  <w:color w:val="228007"/>
                  <w:sz w:val="20"/>
                  <w:szCs w:val="20"/>
                  <w:u w:val="single"/>
                  <w:lang w:eastAsia="ru-RU"/>
                </w:rPr>
                <w:t>МКБ-10</w:t>
              </w:r>
            </w:hyperlink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10BCF6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Блоки болезней (по </w:t>
            </w:r>
            <w:hyperlink r:id="rId5" w:anchor="l0" w:tgtFrame="_blank" w:history="1">
              <w:r w:rsidRPr="00AF06E8">
                <w:rPr>
                  <w:rFonts w:ascii="PT Serif" w:eastAsia="Times New Roman" w:hAnsi="PT Serif" w:cs="Times New Roman"/>
                  <w:color w:val="228007"/>
                  <w:sz w:val="20"/>
                  <w:szCs w:val="20"/>
                  <w:u w:val="single"/>
                  <w:lang w:eastAsia="ru-RU"/>
                </w:rPr>
                <w:t>МКБ-10</w:t>
              </w:r>
            </w:hyperlink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DE4DC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Наименования болезней, травм или дефектов и их последствия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1AE4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Рубрика </w:t>
            </w:r>
            <w:hyperlink r:id="rId6" w:anchor="l0" w:tgtFrame="_blank" w:history="1">
              <w:r w:rsidRPr="00AF06E8">
                <w:rPr>
                  <w:rFonts w:ascii="PT Serif" w:eastAsia="Times New Roman" w:hAnsi="PT Serif" w:cs="Times New Roman"/>
                  <w:color w:val="228007"/>
                  <w:sz w:val="20"/>
                  <w:szCs w:val="20"/>
                  <w:u w:val="single"/>
                  <w:lang w:eastAsia="ru-RU"/>
                </w:rPr>
                <w:t>МКБ-10</w:t>
              </w:r>
            </w:hyperlink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 (код)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78ACD7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Виды стойких расстройств функций организма человека. Рубрика МКФ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BB163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Клинико-функциональная характеристика стойких нарушений функций организма человека, обусловленных заболеваниями, последствиями травм или дефектами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0F16B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Количественная оценка (%)</w:t>
            </w:r>
          </w:p>
        </w:tc>
      </w:tr>
      <w:tr w:rsidR="00095426" w:rsidRPr="00AF06E8" w14:paraId="42055965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2413C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D7CE0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Некоторые инфекционные и паразитарные болезни (класс I)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3C94AA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FF7D4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735116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A00 - B99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FAA75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3639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416D28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426" w:rsidRPr="00AF06E8" w14:paraId="49AA5674" w14:textId="77777777" w:rsidTr="00095426">
        <w:tc>
          <w:tcPr>
            <w:tcW w:w="5000" w:type="pct"/>
            <w:gridSpan w:val="8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434491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</w:pPr>
            <w:bookmarkStart w:id="0" w:name="l61"/>
            <w:bookmarkEnd w:id="0"/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Примечание к пункту 1. Количественная оценка степени нарушений функции организма граждан в возрасте 18 лет и старше (дыхательной, других органов и систем организма) при туберкулезе различной локализации зависит от клинической формы заболевания, рентгенологической стадии, периода и фазы процесса, наличия (отсутствия) выделения микобактерии туберкулеза (МБТ+ или МБТ- </w:t>
            </w:r>
            <w:bookmarkStart w:id="1" w:name="l625"/>
            <w:bookmarkEnd w:id="1"/>
            <w:r w:rsidRPr="00AF06E8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ru-RU"/>
              </w:rPr>
              <w:t>соответственно), течения заболевания (осложненного и неосложненного), характера и вида осложнений (в том числе от проводимой химиотерапии), а также от эффективности проводимого лечения и формирования резистентности к нему (наличие множественной или широкой лекарственной устойчивости).</w:t>
            </w:r>
          </w:p>
        </w:tc>
      </w:tr>
      <w:tr w:rsidR="00095426" w:rsidRPr="00AF06E8" w14:paraId="33B0C48F" w14:textId="77777777" w:rsidTr="00095426">
        <w:tc>
          <w:tcPr>
            <w:tcW w:w="227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36992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4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B5E02E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60BE5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31919" w14:textId="77777777" w:rsidR="00AF06E8" w:rsidRPr="00E25D3F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25D3F">
              <w:rPr>
                <w:rFonts w:ascii="PT Serif" w:eastAsia="Times New Roman" w:hAnsi="PT Serif" w:cs="Times New Roman"/>
                <w:b/>
                <w:bCs/>
                <w:color w:val="FF0000"/>
                <w:sz w:val="28"/>
                <w:szCs w:val="28"/>
                <w:lang w:eastAsia="ru-RU"/>
              </w:rPr>
              <w:t>Туберкулез органов дыхания, подтвержденный </w:t>
            </w:r>
            <w:bookmarkStart w:id="2" w:name="l62"/>
            <w:bookmarkEnd w:id="2"/>
            <w:r w:rsidRPr="00E25D3F">
              <w:rPr>
                <w:rFonts w:ascii="PT Serif" w:eastAsia="Times New Roman" w:hAnsi="PT Serif" w:cs="Times New Roman"/>
                <w:b/>
                <w:bCs/>
                <w:color w:val="FF0000"/>
                <w:sz w:val="28"/>
                <w:szCs w:val="28"/>
                <w:lang w:eastAsia="ru-RU"/>
              </w:rPr>
              <w:t>бактериологически и гистологически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6A3CF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124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6F9DF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AC7FEE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B4B5D6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21F4" w:rsidRPr="00AF06E8" w14:paraId="2BC1A990" w14:textId="77777777" w:rsidTr="00095426"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hideMark/>
          </w:tcPr>
          <w:p w14:paraId="1F71786B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hideMark/>
          </w:tcPr>
          <w:p w14:paraId="5F256BDF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hideMark/>
          </w:tcPr>
          <w:p w14:paraId="39A84365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E5D6D" w14:textId="77777777" w:rsidR="00AF06E8" w:rsidRPr="00E25D3F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5D3F">
              <w:rPr>
                <w:rFonts w:ascii="PT Serif" w:eastAsia="Times New Roman" w:hAnsi="PT Serif" w:cs="Times New Roman"/>
                <w:b/>
                <w:bCs/>
                <w:color w:val="FF0000"/>
                <w:sz w:val="28"/>
                <w:szCs w:val="28"/>
                <w:lang w:eastAsia="ru-RU"/>
              </w:rP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2C903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124" w:type="pct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3A6243A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7C87806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00B14571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426" w:rsidRPr="00AF06E8" w14:paraId="6D4F3FCB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92C4EB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9934E9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FC662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BA5B44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4C2C59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4E3AB5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Нарушения функций дыхательной системы, сердечно-сосудистой системы;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МКФ: B 440 - 449, B 410 - 429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F0C92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Незначительные нарушения функции дыхательной системы при эффективном окончании основного курса лечения, в периоде потери активности (рубцевание, обызвествление) без признаков </w:t>
            </w:r>
            <w:proofErr w:type="spellStart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бактериовыделения</w:t>
            </w:r>
            <w:proofErr w:type="spellEnd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(МБТ-), без остаточных.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Отсутствие ДН или наличие ДН 1 степени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999F03" w14:textId="2AEDB779" w:rsid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0A6BBD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  <w:p w14:paraId="3301F636" w14:textId="4B735E7A" w:rsidR="000A6BBD" w:rsidRPr="00196888" w:rsidRDefault="000A6BBD" w:rsidP="00AF06E8">
            <w:pPr>
              <w:spacing w:after="300" w:line="240" w:lineRule="auto"/>
              <w:rPr>
                <w:rFonts w:ascii="PT Serif" w:eastAsia="Times New Roman" w:hAnsi="PT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888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(группа инвалидности </w:t>
            </w:r>
            <w:r w:rsidR="00196888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НЕ</w:t>
            </w:r>
            <w:r w:rsidRPr="00196888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присваивается- прим. Навигатора)</w:t>
            </w:r>
          </w:p>
        </w:tc>
      </w:tr>
      <w:tr w:rsidR="00095426" w:rsidRPr="00AF06E8" w14:paraId="2D4960AA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4F4835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1DDAA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F19661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D5FC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782113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99D1E8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Нарушения функций </w:t>
            </w:r>
            <w:bookmarkStart w:id="3" w:name="l626"/>
            <w:bookmarkEnd w:id="3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дыхательной системы, </w:t>
            </w:r>
            <w:bookmarkStart w:id="4" w:name="l63"/>
            <w:bookmarkEnd w:id="4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сердечно-сосудистой системы;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МКФ: B 440 - 449, B 410 - 429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16A2CC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Умеренные нарушения функции дыхательной системы при отсутствии положительной клинико-рентгенологической динамики на фоне химиотерапии; при сохранении </w:t>
            </w:r>
            <w:proofErr w:type="spellStart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бактериовыделения</w:t>
            </w:r>
            <w:proofErr w:type="spellEnd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(МБТ+) в периоде потери активности; и/или при наличии остаточных изменений после излеченного туберкулеза органов дыхания (локальный пневмофиброз, 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фиброзно-очаговые изменения) с ДН II степени, преходящей или постоянной легочной гипертензией (ХСН 0 или ХСН 1 стадии).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" w:name="l627"/>
            <w:bookmarkEnd w:id="5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Наличие МБТ+ 6 и более месяцев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922A30" w14:textId="23034E48" w:rsid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40 </w:t>
            </w:r>
            <w:r w:rsidR="00E25D3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  <w:p w14:paraId="56704D11" w14:textId="7A888BEF" w:rsidR="00E25D3F" w:rsidRPr="00AF06E8" w:rsidRDefault="00E25D3F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E25D3F">
              <w:rPr>
                <w:rFonts w:ascii="PT Serif" w:eastAsia="Times New Roman" w:hAnsi="PT Serif" w:cs="Times New Roman"/>
                <w:color w:val="4472C4" w:themeColor="accent1"/>
                <w:sz w:val="24"/>
                <w:szCs w:val="24"/>
                <w:lang w:eastAsia="ru-RU"/>
              </w:rPr>
              <w:t>(</w:t>
            </w: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3 группа инвалидности- прим. Навигатора)</w:t>
            </w:r>
          </w:p>
        </w:tc>
      </w:tr>
      <w:tr w:rsidR="00095426" w:rsidRPr="00AF06E8" w14:paraId="12802E00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0E2B47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9F349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B21B37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CADEF3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81100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112F99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6" w:name="l64"/>
            <w:bookmarkEnd w:id="6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Нарушения функций дыхательной системы, сердечно-сосудистой системы;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МКФ: B 440 - 449, B 410 - 429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5BF180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Выраженные нарушения функции дыхательной системы при неэффективности химиотерапии; при сохранении </w:t>
            </w:r>
            <w:proofErr w:type="spellStart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бактериовыделения</w:t>
            </w:r>
            <w:proofErr w:type="spellEnd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(МБТ+) в периоде потери активности; и/или при наличии 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остаточных изменений после излеченного туберкулеза (пневмосклероз, цирроз, </w:t>
            </w:r>
            <w:proofErr w:type="spellStart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бронхоэктазы</w:t>
            </w:r>
            <w:proofErr w:type="spellEnd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Наличие ДН II, III степени и ХСН IIA стадии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22FC6" w14:textId="54533B35" w:rsid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70 </w:t>
            </w:r>
            <w:r w:rsidR="00E25D3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  <w:p w14:paraId="0B4C8B14" w14:textId="595989E5" w:rsidR="00E25D3F" w:rsidRPr="00E25D3F" w:rsidRDefault="00E25D3F" w:rsidP="00AF06E8">
            <w:pPr>
              <w:spacing w:after="300" w:line="240" w:lineRule="auto"/>
              <w:rPr>
                <w:rFonts w:ascii="PT Serif" w:eastAsia="Times New Roman" w:hAnsi="PT Serif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(2я группа инвалидности</w:t>
            </w:r>
            <w:r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-прим. Навигатора</w:t>
            </w: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)</w:t>
            </w:r>
          </w:p>
        </w:tc>
      </w:tr>
      <w:tr w:rsidR="00095426" w:rsidRPr="00AF06E8" w14:paraId="12FB7EAF" w14:textId="77777777" w:rsidTr="00095426">
        <w:tc>
          <w:tcPr>
            <w:tcW w:w="22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15E29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6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63285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3CFA2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564C5D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C7896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ABC14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Нарушение функций дыхательной, сердечно-сосудистой системы пищеварительной системы;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7" w:name="l65"/>
            <w:bookmarkEnd w:id="7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МКФ: B 410 - 429, B 440 - 450, B 530 - 539</w:t>
            </w:r>
          </w:p>
        </w:tc>
        <w:tc>
          <w:tcPr>
            <w:tcW w:w="756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BE1DD7" w14:textId="77777777" w:rsidR="00AF06E8" w:rsidRP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Значительно выраженные нарушения функций организма вследствие наличия тяжелых полиорганных осложнений (амилоидоз, </w:t>
            </w:r>
            <w:proofErr w:type="spellStart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декоменсированное</w:t>
            </w:r>
            <w:proofErr w:type="spellEnd"/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хроническое легочное сердце, 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полисерозиты, кахексия и так далее).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br/>
              <w:t>Наличие ДН III степени и ХСН ПБ или III стадии</w:t>
            </w:r>
          </w:p>
        </w:tc>
        <w:tc>
          <w:tcPr>
            <w:tcW w:w="507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1DAFC5" w14:textId="258C40E7" w:rsidR="00AF06E8" w:rsidRDefault="00AF06E8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90 </w:t>
            </w:r>
            <w:r w:rsidR="00E25D3F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F06E8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  <w:p w14:paraId="458B7B06" w14:textId="6BB9BCD5" w:rsidR="00E25D3F" w:rsidRPr="00AF06E8" w:rsidRDefault="00E25D3F" w:rsidP="00AF06E8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1</w:t>
            </w: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я группа инвалидности</w:t>
            </w:r>
            <w:r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-прим. Навигатора</w:t>
            </w:r>
            <w:r w:rsidRPr="00E25D3F">
              <w:rPr>
                <w:rFonts w:ascii="PT Serif" w:eastAsia="Times New Roman" w:hAnsi="PT Serif" w:cs="Times New Roman"/>
                <w:i/>
                <w:iCs/>
                <w:color w:val="4472C4" w:themeColor="accent1"/>
                <w:sz w:val="24"/>
                <w:szCs w:val="24"/>
                <w:lang w:eastAsia="ru-RU"/>
              </w:rPr>
              <w:t>)</w:t>
            </w:r>
          </w:p>
        </w:tc>
      </w:tr>
    </w:tbl>
    <w:p w14:paraId="54E4F718" w14:textId="1F55C50A" w:rsidR="00E02DA7" w:rsidRPr="00AF06E8" w:rsidRDefault="00E02DA7" w:rsidP="00EA0A4A"/>
    <w:sectPr w:rsidR="00E02DA7" w:rsidRPr="00AF06E8" w:rsidSect="00095426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A7"/>
    <w:rsid w:val="00095426"/>
    <w:rsid w:val="000A6BBD"/>
    <w:rsid w:val="00196888"/>
    <w:rsid w:val="0020232F"/>
    <w:rsid w:val="00491232"/>
    <w:rsid w:val="00512635"/>
    <w:rsid w:val="00612CDC"/>
    <w:rsid w:val="00683A1D"/>
    <w:rsid w:val="008621F4"/>
    <w:rsid w:val="008C3F1A"/>
    <w:rsid w:val="009F3233"/>
    <w:rsid w:val="00A91E36"/>
    <w:rsid w:val="00AC109D"/>
    <w:rsid w:val="00AF06E8"/>
    <w:rsid w:val="00E02DA7"/>
    <w:rsid w:val="00E25D3F"/>
    <w:rsid w:val="00EA0A4A"/>
    <w:rsid w:val="00E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E16F"/>
  <w15:chartTrackingRefBased/>
  <w15:docId w15:val="{E135A3D6-FAFC-43BD-9BBF-EADCEF38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71591" TargetMode="External"/><Relationship Id="rId5" Type="http://schemas.openxmlformats.org/officeDocument/2006/relationships/hyperlink" Target="https://normativ.kontur.ru/document?moduleId=1&amp;documentId=71591" TargetMode="External"/><Relationship Id="rId4" Type="http://schemas.openxmlformats.org/officeDocument/2006/relationships/hyperlink" Target="https://normativ.kontur.ru/document?moduleId=1&amp;documentId=71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Кичигина Наталья</cp:lastModifiedBy>
  <cp:revision>6</cp:revision>
  <dcterms:created xsi:type="dcterms:W3CDTF">2022-07-06T14:44:00Z</dcterms:created>
  <dcterms:modified xsi:type="dcterms:W3CDTF">2022-07-06T14:59:00Z</dcterms:modified>
</cp:coreProperties>
</file>